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8" w:name="Xe3f6d152379bf4fb10939600eec2a162a82f8e8"/>
    <w:p>
      <w:pPr>
        <w:pStyle w:val="Heading1"/>
      </w:pPr>
      <w:r>
        <w:t xml:space="preserve">How to Decode British Hallmarks in 5 Steps</w:t>
      </w:r>
    </w:p>
    <w:p>
      <w:pPr>
        <w:pStyle w:val="FirstParagraph"/>
      </w:pPr>
      <w:r>
        <w:t xml:space="preserve">British jewellery hallmarks are more than tiny stamps — they’re the key to a piece’s identity. The United Kingdom has legally required precious-metal items to carry specific hallmarks for centuries, making it one of the world’s oldest and strictest hallmarking systems. Each symbol reveals vital information about an item’s metal purity, where it was tested, and when it was certified. In this British hallmark guide you’ll learn, step by step, how to identify antique</w:t>
      </w:r>
      <w:r>
        <w:t xml:space="preserve"> </w:t>
      </w:r>
      <w:r>
        <w:rPr>
          <w:bCs/>
          <w:b/>
        </w:rPr>
        <w:t xml:space="preserve">gold</w:t>
      </w:r>
      <w:r>
        <w:t xml:space="preserve"> </w:t>
      </w:r>
      <w:r>
        <w:t xml:space="preserve">and</w:t>
      </w:r>
      <w:r>
        <w:t xml:space="preserve"> </w:t>
      </w:r>
      <w:r>
        <w:rPr>
          <w:bCs/>
          <w:b/>
        </w:rPr>
        <w:t xml:space="preserve">platinum</w:t>
      </w:r>
      <w:r>
        <w:t xml:space="preserve"> </w:t>
      </w:r>
      <w:r>
        <w:t xml:space="preserve">marks with confidence and speed.</w:t>
      </w:r>
    </w:p>
    <w:p>
      <w:r>
        <w:pict>
          <v:rect style="width:0;height:1.5pt" o:hralign="center" o:hrstd="t" o:hr="t"/>
        </w:pict>
      </w:r>
    </w:p>
    <w:bookmarkStart w:id="20" w:name="Xe2fee626150a953255e6d093e6f1243aa34804a"/>
    <w:p>
      <w:pPr>
        <w:pStyle w:val="Heading2"/>
      </w:pPr>
      <w:r>
        <w:t xml:space="preserve">1 Locate Every Mark</w:t>
      </w:r>
    </w:p>
    <w:p>
      <w:pPr>
        <w:pStyle w:val="FirstParagraph"/>
      </w:pPr>
      <w:r>
        <w:t xml:space="preserve">Hallmarks can be minute and sometimes worn with age, so start by finding</w:t>
      </w:r>
      <w:r>
        <w:t xml:space="preserve"> </w:t>
      </w:r>
      <w:r>
        <w:rPr>
          <w:iCs/>
          <w:i/>
        </w:rPr>
        <w:t xml:space="preserve">all</w:t>
      </w:r>
      <w:r>
        <w:t xml:space="preserve"> </w:t>
      </w:r>
      <w:r>
        <w:t xml:space="preserve">the stamps on your piece. Common hiding places include:</w:t>
      </w:r>
    </w:p>
    <w:p>
      <w:pPr>
        <w:numPr>
          <w:ilvl w:val="0"/>
          <w:numId w:val="1001"/>
        </w:numPr>
        <w:pStyle w:val="Compact"/>
      </w:pPr>
      <w:r>
        <w:t xml:space="preserve">Inside ring shanks</w:t>
      </w:r>
    </w:p>
    <w:p>
      <w:pPr>
        <w:numPr>
          <w:ilvl w:val="0"/>
          <w:numId w:val="1001"/>
        </w:numPr>
        <w:pStyle w:val="Compact"/>
      </w:pPr>
      <w:r>
        <w:t xml:space="preserve">Reverse of brooches and pendants</w:t>
      </w:r>
    </w:p>
    <w:p>
      <w:pPr>
        <w:numPr>
          <w:ilvl w:val="0"/>
          <w:numId w:val="1001"/>
        </w:numPr>
        <w:pStyle w:val="Compact"/>
      </w:pPr>
      <w:r>
        <w:t xml:space="preserve">Bracelet clasps and watch cases</w:t>
      </w:r>
    </w:p>
    <w:p>
      <w:pPr>
        <w:pStyle w:val="FirstParagraph"/>
      </w:pPr>
      <w:r>
        <w:t xml:space="preserve">Use a 10 × jeweller’s loupe or a high-resolution phone camera to record each symbol clearly. A complete British hallmark often shows</w:t>
      </w:r>
      <w:r>
        <w:t xml:space="preserve"> </w:t>
      </w:r>
      <w:r>
        <w:rPr>
          <w:bCs/>
          <w:b/>
        </w:rPr>
        <w:t xml:space="preserve">five</w:t>
      </w:r>
      <w:r>
        <w:t xml:space="preserve"> </w:t>
      </w:r>
      <w:r>
        <w:t xml:space="preserve">marks in a row on older items, but some modern pieces display as few as two. Photographing the marks now will help you reference them later without re-handling the piece.</w:t>
      </w:r>
    </w:p>
    <w:p>
      <w:r>
        <w:pict>
          <v:rect style="width:0;height:1.5pt" o:hralign="center" o:hrstd="t" o:hr="t"/>
        </w:pict>
      </w:r>
    </w:p>
    <w:bookmarkEnd w:id="20"/>
    <w:bookmarkStart w:id="21" w:name="X4ef25eadf9481918d83ed40617196e406276a29"/>
    <w:p>
      <w:pPr>
        <w:pStyle w:val="Heading2"/>
      </w:pPr>
      <w:r>
        <w:t xml:space="preserve">2 Spot the Metal Fineness Mark</w:t>
      </w:r>
    </w:p>
    <w:p>
      <w:pPr>
        <w:pStyle w:val="FirstParagraph"/>
      </w:pPr>
      <w:r>
        <w:t xml:space="preserve">Identify the metal and its purity first. Modern British hallmarks use a</w:t>
      </w:r>
      <w:r>
        <w:t xml:space="preserve"> </w:t>
      </w:r>
      <w:r>
        <w:rPr>
          <w:bCs/>
          <w:b/>
        </w:rPr>
        <w:t xml:space="preserve">millesimal fineness</w:t>
      </w:r>
      <w:r>
        <w:t xml:space="preserve"> </w:t>
      </w:r>
      <w:r>
        <w:t xml:space="preserve">number:</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Metal</w:t>
            </w:r>
          </w:p>
        </w:tc>
        <w:tc>
          <w:tcPr/>
          <w:p>
            <w:pPr>
              <w:pStyle w:val="Compact"/>
              <w:jc w:val="left"/>
            </w:pPr>
            <w:r>
              <w:t xml:space="preserve">Common Marks</w:t>
            </w:r>
          </w:p>
        </w:tc>
        <w:tc>
          <w:tcPr/>
          <w:p>
            <w:pPr>
              <w:pStyle w:val="Compact"/>
              <w:jc w:val="left"/>
            </w:pPr>
            <w:r>
              <w:t xml:space="preserve">Meaning</w:t>
            </w:r>
          </w:p>
        </w:tc>
      </w:tr>
      <w:tr>
        <w:tc>
          <w:tcPr/>
          <w:p>
            <w:pPr>
              <w:pStyle w:val="Compact"/>
              <w:jc w:val="left"/>
            </w:pPr>
            <w:r>
              <w:t xml:space="preserve">Gold</w:t>
            </w:r>
          </w:p>
        </w:tc>
        <w:tc>
          <w:tcPr/>
          <w:p>
            <w:pPr>
              <w:pStyle w:val="Compact"/>
              <w:jc w:val="left"/>
            </w:pPr>
            <w:r>
              <w:t xml:space="preserve">375, 585, 750, 916</w:t>
            </w:r>
          </w:p>
        </w:tc>
        <w:tc>
          <w:tcPr/>
          <w:p>
            <w:pPr>
              <w:pStyle w:val="Compact"/>
              <w:jc w:val="left"/>
            </w:pPr>
            <w:r>
              <w:t xml:space="preserve">9 ct (37.5 %), 14 ct (58.5 %), 18 ct (75 %), 22 ct (91.6 %)</w:t>
            </w:r>
          </w:p>
        </w:tc>
      </w:tr>
      <w:tr>
        <w:tc>
          <w:tcPr/>
          <w:p>
            <w:pPr>
              <w:pStyle w:val="Compact"/>
              <w:jc w:val="left"/>
            </w:pPr>
            <w:r>
              <w:t xml:space="preserve">Platinum</w:t>
            </w:r>
          </w:p>
        </w:tc>
        <w:tc>
          <w:tcPr/>
          <w:p>
            <w:pPr>
              <w:pStyle w:val="Compact"/>
              <w:jc w:val="left"/>
            </w:pPr>
            <w:r>
              <w:t xml:space="preserve">850, 900, 950</w:t>
            </w:r>
          </w:p>
        </w:tc>
        <w:tc>
          <w:tcPr/>
          <w:p>
            <w:pPr>
              <w:pStyle w:val="Compact"/>
              <w:jc w:val="left"/>
            </w:pPr>
            <w:r>
              <w:t xml:space="preserve">85 %, 90 %, 95 % platinum</w:t>
            </w:r>
          </w:p>
        </w:tc>
      </w:tr>
    </w:tbl>
    <w:p>
      <w:pPr>
        <w:pStyle w:val="BodyText"/>
      </w:pPr>
      <w:r>
        <w:t xml:space="preserve">Older gold may show “9ct”, “18”, or a crown-and-number stamp instead. Recognising this fineness mark confirms you’re handling genuine precious metal and tells you exactly how much of it is present.</w:t>
      </w:r>
    </w:p>
    <w:p>
      <w:r>
        <w:pict>
          <v:rect style="width:0;height:1.5pt" o:hralign="center" o:hrstd="t" o:hr="t"/>
        </w:pict>
      </w:r>
    </w:p>
    <w:bookmarkEnd w:id="21"/>
    <w:bookmarkStart w:id="22" w:name="Xa6a0ba469aebfb8f3d4e59e91ba0dbb6a5fc697"/>
    <w:p>
      <w:pPr>
        <w:pStyle w:val="Heading2"/>
      </w:pPr>
      <w:r>
        <w:t xml:space="preserve">3 Identify the Assay Office Symbol</w:t>
      </w:r>
    </w:p>
    <w:p>
      <w:pPr>
        <w:pStyle w:val="FirstParagraph"/>
      </w:pPr>
      <w:r>
        <w:t xml:space="preserve">British law mandates that precious-metal items be tested at an official assay office. Each office has its own emblem:</w:t>
      </w:r>
    </w:p>
    <w:p>
      <w:pPr>
        <w:numPr>
          <w:ilvl w:val="0"/>
          <w:numId w:val="1002"/>
        </w:numPr>
        <w:pStyle w:val="Compact"/>
      </w:pPr>
      <w:r>
        <w:rPr>
          <w:bCs/>
          <w:b/>
        </w:rPr>
        <w:t xml:space="preserve">Leopard’s head</w:t>
      </w:r>
      <w:r>
        <w:t xml:space="preserve"> </w:t>
      </w:r>
      <w:r>
        <w:t xml:space="preserve">— London</w:t>
      </w:r>
    </w:p>
    <w:p>
      <w:pPr>
        <w:numPr>
          <w:ilvl w:val="0"/>
          <w:numId w:val="1002"/>
        </w:numPr>
        <w:pStyle w:val="Compact"/>
      </w:pPr>
      <w:r>
        <w:rPr>
          <w:bCs/>
          <w:b/>
        </w:rPr>
        <w:t xml:space="preserve">Anchor</w:t>
      </w:r>
      <w:r>
        <w:t xml:space="preserve"> </w:t>
      </w:r>
      <w:r>
        <w:t xml:space="preserve">— Birmingham</w:t>
      </w:r>
    </w:p>
    <w:p>
      <w:pPr>
        <w:numPr>
          <w:ilvl w:val="0"/>
          <w:numId w:val="1002"/>
        </w:numPr>
        <w:pStyle w:val="Compact"/>
      </w:pPr>
      <w:r>
        <w:rPr>
          <w:bCs/>
          <w:b/>
        </w:rPr>
        <w:t xml:space="preserve">Rose</w:t>
      </w:r>
      <w:r>
        <w:t xml:space="preserve"> </w:t>
      </w:r>
      <w:r>
        <w:t xml:space="preserve">— Sheffield</w:t>
      </w:r>
    </w:p>
    <w:p>
      <w:pPr>
        <w:numPr>
          <w:ilvl w:val="0"/>
          <w:numId w:val="1002"/>
        </w:numPr>
        <w:pStyle w:val="Compact"/>
      </w:pPr>
      <w:r>
        <w:rPr>
          <w:bCs/>
          <w:b/>
        </w:rPr>
        <w:t xml:space="preserve">Castle</w:t>
      </w:r>
      <w:r>
        <w:t xml:space="preserve"> </w:t>
      </w:r>
      <w:r>
        <w:t xml:space="preserve">— Edinburgh</w:t>
      </w:r>
    </w:p>
    <w:p>
      <w:pPr>
        <w:pStyle w:val="FirstParagraph"/>
      </w:pPr>
      <w:r>
        <w:t xml:space="preserve">If you come across symbols like Chester’s</w:t>
      </w:r>
      <w:r>
        <w:t xml:space="preserve"> </w:t>
      </w:r>
      <w:r>
        <w:rPr>
          <w:bCs/>
          <w:b/>
        </w:rPr>
        <w:t xml:space="preserve">three wheat sheaves</w:t>
      </w:r>
      <w:r>
        <w:t xml:space="preserve"> </w:t>
      </w:r>
      <w:r>
        <w:t xml:space="preserve">or Glasgow’s</w:t>
      </w:r>
      <w:r>
        <w:t xml:space="preserve"> </w:t>
      </w:r>
      <w:r>
        <w:rPr>
          <w:bCs/>
          <w:b/>
        </w:rPr>
        <w:t xml:space="preserve">tree</w:t>
      </w:r>
      <w:r>
        <w:t xml:space="preserve">, you know you’re looking at a piece tested before those offices closed (1962 and 1964 respectively). The assay mark not only authenticates the test but also places your item geographically and sometimes historically.</w:t>
      </w:r>
    </w:p>
    <w:p>
      <w:r>
        <w:pict>
          <v:rect style="width:0;height:1.5pt" o:hralign="center" o:hrstd="t" o:hr="t"/>
        </w:pict>
      </w:r>
    </w:p>
    <w:bookmarkEnd w:id="22"/>
    <w:bookmarkStart w:id="23" w:name="Xcefea60d0961df3ebf1e068f782a875bf3fce8a"/>
    <w:p>
      <w:pPr>
        <w:pStyle w:val="Heading2"/>
      </w:pPr>
      <w:r>
        <w:t xml:space="preserve">4 Decode the Date Letter</w:t>
      </w:r>
    </w:p>
    <w:p>
      <w:pPr>
        <w:pStyle w:val="FirstParagraph"/>
      </w:pPr>
      <w:r>
        <w:t xml:space="preserve">Most British hallmarks include a single</w:t>
      </w:r>
      <w:r>
        <w:t xml:space="preserve"> </w:t>
      </w:r>
      <w:r>
        <w:rPr>
          <w:bCs/>
          <w:b/>
        </w:rPr>
        <w:t xml:space="preserve">letter of the alphabet</w:t>
      </w:r>
      <w:r>
        <w:t xml:space="preserve"> </w:t>
      </w:r>
      <w:r>
        <w:t xml:space="preserve">enclosed in a shield. This is the date letter. Because the font and shield shape change in regular cycles (usually every 25 years), you must match</w:t>
      </w:r>
      <w:r>
        <w:t xml:space="preserve"> </w:t>
      </w:r>
      <w:r>
        <w:rPr>
          <w:iCs/>
          <w:i/>
        </w:rPr>
        <w:t xml:space="preserve">both</w:t>
      </w:r>
      <w:r>
        <w:t xml:space="preserve"> </w:t>
      </w:r>
      <w:r>
        <w:t xml:space="preserve">the letter and its outline to the correct chart for that assay office.</w:t>
      </w:r>
    </w:p>
    <w:p>
      <w:pPr>
        <w:pStyle w:val="BodyText"/>
      </w:pPr>
      <w:r>
        <w:t xml:space="preserve">Example: a lower-case Gothic “r” in a rounded shield is 1866 for Chester, while an italic capital “R” in a square might be 1991 for London. Getting the date right confirms whether the piece truly qualifies as antique (over 100 years old) or vintage.</w:t>
      </w:r>
    </w:p>
    <w:p>
      <w:r>
        <w:pict>
          <v:rect style="width:0;height:1.5pt" o:hralign="center" o:hrstd="t" o:hr="t"/>
        </w:pict>
      </w:r>
    </w:p>
    <w:bookmarkEnd w:id="23"/>
    <w:bookmarkStart w:id="26" w:name="Xfbb69a17937a154149386cfd3dd9010b52169d4"/>
    <w:p>
      <w:pPr>
        <w:pStyle w:val="Heading2"/>
      </w:pPr>
      <w:r>
        <w:t xml:space="preserve">5 Verify and Learn More with a Digital Tool</w:t>
      </w:r>
    </w:p>
    <w:p>
      <w:pPr>
        <w:pStyle w:val="FirstParagraph"/>
      </w:pPr>
      <w:r>
        <w:t xml:space="preserve">After gathering the fineness number, assay symbol and date letter, cross-check your conclusions:</w:t>
      </w:r>
    </w:p>
    <w:p>
      <w:pPr>
        <w:numPr>
          <w:ilvl w:val="0"/>
          <w:numId w:val="1003"/>
        </w:numPr>
        <w:pStyle w:val="Compact"/>
      </w:pPr>
      <w:r>
        <w:t xml:space="preserve">Does the fineness align with the expected colour and weight?</w:t>
      </w:r>
    </w:p>
    <w:p>
      <w:pPr>
        <w:numPr>
          <w:ilvl w:val="0"/>
          <w:numId w:val="1003"/>
        </w:numPr>
        <w:pStyle w:val="Compact"/>
      </w:pPr>
      <w:r>
        <w:t xml:space="preserve">Is the assay office plausible for the maker’s location?</w:t>
      </w:r>
    </w:p>
    <w:p>
      <w:pPr>
        <w:numPr>
          <w:ilvl w:val="0"/>
          <w:numId w:val="1003"/>
        </w:numPr>
        <w:pStyle w:val="Compact"/>
      </w:pPr>
      <w:r>
        <w:t xml:space="preserve">Does the date fit the style and construction of the piece?</w:t>
      </w:r>
    </w:p>
    <w:p>
      <w:pPr>
        <w:pStyle w:val="FirstParagraph"/>
      </w:pPr>
      <w:r>
        <w:t xml:space="preserve">For extra assurance, run the marks through the</w:t>
      </w:r>
      <w:r>
        <w:t xml:space="preserve"> </w:t>
      </w:r>
      <w:hyperlink r:id="rId24">
        <w:r>
          <w:rPr>
            <w:rStyle w:val="Hyperlink"/>
            <w:bCs/>
            <w:b/>
          </w:rPr>
          <w:t xml:space="preserve">Antique Jewellers Hallmark Finder</w:t>
        </w:r>
      </w:hyperlink>
      <w:r>
        <w:t xml:space="preserve">. This free online tool lets you select each symbol or number from visual menus and instantly returns a plain-English explanation of what it means. Because it covers British hallmarks from 1700 onward, it’s perfect for confirming a 750 gold stamp from 1975 or a 950 platinum stamp from 1920. Digital confirmation saves hours of leafing through printed charts and helps avoid costly mis-identifications.</w:t>
      </w:r>
    </w:p>
    <w:p>
      <w:r>
        <w:pict>
          <v:rect style="width:0;height:1.5pt" o:hralign="center" o:hrstd="t" o:hr="t"/>
        </w:pict>
      </w:r>
    </w:p>
    <w:bookmarkStart w:id="25" w:name="why-hallmark-knowledge-matters"/>
    <w:p>
      <w:pPr>
        <w:pStyle w:val="Heading3"/>
      </w:pPr>
      <w:r>
        <w:t xml:space="preserve">Why Hallmark Knowledge Matters</w:t>
      </w:r>
    </w:p>
    <w:p>
      <w:pPr>
        <w:numPr>
          <w:ilvl w:val="0"/>
          <w:numId w:val="1004"/>
        </w:numPr>
        <w:pStyle w:val="Compact"/>
      </w:pPr>
      <w:r>
        <w:rPr>
          <w:bCs/>
          <w:b/>
        </w:rPr>
        <w:t xml:space="preserve">Authentication:</w:t>
      </w:r>
      <w:r>
        <w:t xml:space="preserve"> </w:t>
      </w:r>
      <w:r>
        <w:t xml:space="preserve">Properly read hallmarks prove metal purity beyond doubt, protecting buyers and sellers alike.</w:t>
      </w:r>
    </w:p>
    <w:p>
      <w:pPr>
        <w:numPr>
          <w:ilvl w:val="0"/>
          <w:numId w:val="1004"/>
        </w:numPr>
        <w:pStyle w:val="Compact"/>
      </w:pPr>
      <w:r>
        <w:rPr>
          <w:bCs/>
          <w:b/>
        </w:rPr>
        <w:t xml:space="preserve">Valuation:</w:t>
      </w:r>
      <w:r>
        <w:t xml:space="preserve"> </w:t>
      </w:r>
      <w:r>
        <w:t xml:space="preserve">A correct date letter or obsolete assay mark can significantly raise a piece’s market value.</w:t>
      </w:r>
    </w:p>
    <w:p>
      <w:pPr>
        <w:numPr>
          <w:ilvl w:val="0"/>
          <w:numId w:val="1004"/>
        </w:numPr>
        <w:pStyle w:val="Compact"/>
      </w:pPr>
      <w:r>
        <w:rPr>
          <w:bCs/>
          <w:b/>
        </w:rPr>
        <w:t xml:space="preserve">Storytelling:</w:t>
      </w:r>
      <w:r>
        <w:t xml:space="preserve"> </w:t>
      </w:r>
      <w:r>
        <w:t xml:space="preserve">Knowing an item was assayed in Birmingham in 1924 adds provenance that customers and collectors love.</w:t>
      </w:r>
    </w:p>
    <w:p>
      <w:pPr>
        <w:numPr>
          <w:ilvl w:val="0"/>
          <w:numId w:val="1004"/>
        </w:numPr>
        <w:pStyle w:val="Compact"/>
      </w:pPr>
      <w:r>
        <w:rPr>
          <w:bCs/>
          <w:b/>
        </w:rPr>
        <w:t xml:space="preserve">Compliance:</w:t>
      </w:r>
      <w:r>
        <w:t xml:space="preserve"> </w:t>
      </w:r>
      <w:r>
        <w:t xml:space="preserve">Dealers in the UK must accurately describe precious-metal fineness under hallmarking law; mis-descriptions risk legal penalties.</w:t>
      </w:r>
    </w:p>
    <w:p>
      <w:r>
        <w:pict>
          <v:rect style="width:0;height:1.5pt" o:hralign="center" o:hrstd="t" o:hr="t"/>
        </w:pict>
      </w:r>
    </w:p>
    <w:bookmarkEnd w:id="25"/>
    <w:bookmarkEnd w:id="26"/>
    <w:bookmarkStart w:id="27" w:name="final-thoughts"/>
    <w:p>
      <w:pPr>
        <w:pStyle w:val="Heading2"/>
      </w:pPr>
      <w:r>
        <w:t xml:space="preserve">Final Thoughts</w:t>
      </w:r>
    </w:p>
    <w:p>
      <w:pPr>
        <w:pStyle w:val="FirstParagraph"/>
      </w:pPr>
      <w:r>
        <w:t xml:space="preserve">Decoding British hallmarks may seem daunting, but by methodically</w:t>
      </w:r>
      <w:r>
        <w:t xml:space="preserve"> </w:t>
      </w:r>
      <w:r>
        <w:rPr>
          <w:bCs/>
          <w:b/>
        </w:rPr>
        <w:t xml:space="preserve">locating every mark, reading the fineness, spotting the assay office, dating the letter, and verifying with a trusted database</w:t>
      </w:r>
      <w:r>
        <w:t xml:space="preserve">, you can unlock the fascinating story stamped onto every precious-metal treasure. Next time you inspect a ring, pendant or watch case, let those tiny symbols guide you to its true identity — and remember, Antique Jewellers’ Hallmark Finder is just a click away when you need a second opinion.</w:t>
      </w:r>
    </w:p>
    <w:bookmarkEnd w:id="27"/>
    <w:bookmarkEnd w:id="28"/>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1"/>
  </w:num>
  <w:num w:numId="1002">
    <w:abstractNumId w:val="991"/>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jc w:val="center"/>
      <w:spacing w:after="0" w:before="300"/>
    </w:pPr>
    <w:rPr>
      <w:sz w:val="20"/>
      <w:szCs w:val="20"/>
      <w:b/>
      <w:color w:val="345A8A"/>
      &gt;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24" Target="https://antiquejewellers.com/hallmark-finder" TargetMode="External" /></Relationships>
</file>

<file path=word/_rels/footnotes.xml.rels><?xml version="1.0" encoding="UTF-8"?><Relationships xmlns="http://schemas.openxmlformats.org/package/2006/relationships"><Relationship Type="http://schemas.openxmlformats.org/officeDocument/2006/relationships/hyperlink" Id="rId24" Target="https://antiquejewellers.com/hallmark-finder"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1970-01-01T00:00:00Z</dcterms:created>
  <dcterms:modified xsi:type="dcterms:W3CDTF">1970-01-01T00:00:00Z</dcterms:modified>
</cp:coreProperties>
</file>

<file path=docProps/custom.xml><?xml version="1.0" encoding="utf-8"?>
<Properties xmlns="http://schemas.openxmlformats.org/officeDocument/2006/custom-properties" xmlns:vt="http://schemas.openxmlformats.org/officeDocument/2006/docPropsVTypes"/>
</file>